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066FD0F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ind w:left="0" w:right="0"/>
        <w:jc w:val="center"/>
      </w:pPr>
      <w:r>
        <w:rPr>
          <w:rFonts w:ascii="黑体" w:hAnsi="宋体" w:eastAsia="黑体" w:cs="黑体"/>
          <w:color w:val="000000"/>
          <w:sz w:val="32"/>
          <w:szCs w:val="32"/>
        </w:rPr>
        <w:t>《</w:t>
      </w:r>
      <w:r>
        <w:rPr>
          <w:rFonts w:hint="eastAsia" w:ascii="黑体" w:hAnsi="宋体" w:eastAsia="黑体" w:cs="黑体"/>
          <w:color w:val="000000"/>
          <w:sz w:val="32"/>
          <w:szCs w:val="32"/>
          <w:lang w:val="en-US" w:eastAsia="zh-CN"/>
        </w:rPr>
        <w:t>理论建设</w:t>
      </w:r>
      <w:r>
        <w:rPr>
          <w:rFonts w:ascii="黑体" w:hAnsi="宋体" w:eastAsia="黑体" w:cs="黑体"/>
          <w:color w:val="000000"/>
          <w:sz w:val="32"/>
          <w:szCs w:val="32"/>
        </w:rPr>
        <w:t>》稿件使用协议</w:t>
      </w:r>
    </w:p>
    <w:p w14:paraId="17E3A062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jc w:val="both"/>
      </w:pPr>
      <w:r>
        <w:t> </w:t>
      </w:r>
    </w:p>
    <w:p w14:paraId="37839F09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 xml:space="preserve">    </w:t>
      </w:r>
      <w:r>
        <w:rPr>
          <w:rFonts w:ascii="楷体" w:hAnsi="楷体" w:eastAsia="楷体" w:cs="楷体"/>
          <w:color w:val="000000"/>
          <w:sz w:val="24"/>
          <w:szCs w:val="24"/>
        </w:rPr>
        <w:t>一、本协议针对</w:t>
      </w:r>
      <w:r>
        <w:rPr>
          <w:rFonts w:hint="eastAsia" w:ascii="楷体" w:hAnsi="楷体" w:eastAsia="楷体" w:cs="楷体"/>
          <w:color w:val="000000"/>
          <w:sz w:val="24"/>
          <w:szCs w:val="24"/>
          <w:u w:val="single"/>
        </w:rPr>
        <w:t>《                                               》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（投稿系统内文章名，最终出版时</w:t>
      </w:r>
      <w:bookmarkStart w:id="0" w:name="_GoBack"/>
      <w:bookmarkEnd w:id="0"/>
      <w:r>
        <w:rPr>
          <w:rFonts w:hint="eastAsia" w:ascii="楷体" w:hAnsi="楷体" w:eastAsia="楷体" w:cs="楷体"/>
          <w:color w:val="000000"/>
          <w:sz w:val="24"/>
          <w:szCs w:val="24"/>
        </w:rPr>
        <w:t xml:space="preserve">可能会略有改动）一稿订立。 </w:t>
      </w:r>
    </w:p>
    <w:p w14:paraId="10C2A7BF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b/>
          <w:color w:val="000000"/>
          <w:sz w:val="24"/>
          <w:szCs w:val="24"/>
          <w:lang w:val="en-US" w:eastAsia="zh-CN"/>
        </w:rPr>
        <w:t xml:space="preserve">    </w:t>
      </w:r>
      <w:r>
        <w:rPr>
          <w:rFonts w:hint="eastAsia" w:ascii="楷体" w:hAnsi="楷体" w:eastAsia="楷体" w:cs="楷体"/>
          <w:b/>
          <w:color w:val="000000"/>
          <w:sz w:val="24"/>
          <w:szCs w:val="24"/>
        </w:rPr>
        <w:t>二、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作者声明：</w:t>
      </w:r>
    </w:p>
    <w:p w14:paraId="2868F7AE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480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>1.上列稿件或其主要内容在《</w:t>
      </w: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>理论建设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》刊发之前以及同时未在其他公开出版物（包括互联网）上使用。</w:t>
      </w:r>
    </w:p>
    <w:p w14:paraId="7200606D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480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>2.上列稿件不存在有违学术规范情形，且不存在知识产权争议。</w:t>
      </w:r>
    </w:p>
    <w:p w14:paraId="028F96EE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480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>3.上列稿件不存在涉密内容。</w:t>
      </w:r>
    </w:p>
    <w:p w14:paraId="487071F5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 xml:space="preserve">    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三、作者同意授予《</w:t>
      </w: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>理论建设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》编辑部上列稿件版权，包括但不限于复制权、发行权、汇编权及信息网络传播权等。作者确认上述授权内容已取得所有著作权人的合法授权。</w:t>
      </w:r>
    </w:p>
    <w:p w14:paraId="41D619F9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 xml:space="preserve">    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四、作者授予上列稿件的数字传播及《</w:t>
      </w: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>理论建设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》各合作平台信息网络传播权。</w:t>
      </w:r>
    </w:p>
    <w:p w14:paraId="7CEA1F9B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 xml:space="preserve">    </w:t>
      </w: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五、作者同意《</w:t>
      </w:r>
      <w:r>
        <w:rPr>
          <w:rFonts w:hint="eastAsia" w:ascii="楷体" w:hAnsi="楷体" w:eastAsia="楷体" w:cs="楷体"/>
          <w:color w:val="000000"/>
          <w:sz w:val="24"/>
          <w:szCs w:val="24"/>
          <w:lang w:eastAsia="zh-CN"/>
        </w:rPr>
        <w:t>理论建设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》编辑部在不改变稿件基本观点和实质性内容的前提下，对上列稿件进行加工修改。</w:t>
      </w:r>
    </w:p>
    <w:p w14:paraId="151977C2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 xml:space="preserve">    </w:t>
      </w: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六、作者授予《</w:t>
      </w:r>
      <w:r>
        <w:rPr>
          <w:rFonts w:hint="eastAsia" w:ascii="楷体" w:hAnsi="楷体" w:eastAsia="楷体" w:cs="楷体"/>
          <w:color w:val="000000"/>
          <w:sz w:val="24"/>
          <w:szCs w:val="24"/>
          <w:lang w:eastAsia="zh-CN"/>
        </w:rPr>
        <w:t>理论建设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》对上列稿件自刊发之日起的专有使用权。作者承诺不结集出版或在互联网上发表。</w:t>
      </w:r>
    </w:p>
    <w:p w14:paraId="56D06A03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 xml:space="preserve">    </w:t>
      </w: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七、作者授权上列稿件刊发后，将该文的电子版提交《</w:t>
      </w:r>
      <w:r>
        <w:rPr>
          <w:rFonts w:hint="eastAsia" w:ascii="楷体" w:hAnsi="楷体" w:eastAsia="楷体" w:cs="楷体"/>
          <w:color w:val="000000"/>
          <w:sz w:val="24"/>
          <w:szCs w:val="24"/>
          <w:lang w:eastAsia="zh-CN"/>
        </w:rPr>
        <w:t>理论建设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》合作数据库、学术期刊光盘版、《</w:t>
      </w:r>
      <w:r>
        <w:rPr>
          <w:rFonts w:hint="eastAsia" w:ascii="楷体" w:hAnsi="楷体" w:eastAsia="楷体" w:cs="楷体"/>
          <w:color w:val="000000"/>
          <w:sz w:val="24"/>
          <w:szCs w:val="24"/>
          <w:lang w:eastAsia="zh-CN"/>
        </w:rPr>
        <w:t>理论建设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》网站及微信公众号等使用，并许可《</w:t>
      </w:r>
      <w:r>
        <w:rPr>
          <w:rFonts w:hint="eastAsia" w:ascii="楷体" w:hAnsi="楷体" w:eastAsia="楷体" w:cs="楷体"/>
          <w:color w:val="000000"/>
          <w:sz w:val="24"/>
          <w:szCs w:val="24"/>
          <w:lang w:eastAsia="zh-CN"/>
        </w:rPr>
        <w:t>理论建设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》结集出版。</w:t>
      </w:r>
    </w:p>
    <w:p w14:paraId="4ACD4359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480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>八、《</w:t>
      </w:r>
      <w:r>
        <w:rPr>
          <w:rFonts w:hint="eastAsia" w:ascii="楷体" w:hAnsi="楷体" w:eastAsia="楷体" w:cs="楷体"/>
          <w:color w:val="000000"/>
          <w:sz w:val="24"/>
          <w:szCs w:val="24"/>
          <w:lang w:eastAsia="zh-CN"/>
        </w:rPr>
        <w:t>理论建设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》刊发的稿件，不收取包括版面费、编审费、邮寄费等在内的费用，向作者一次性支付稿酬，不再支付其他版权转让费和版权收益等。</w:t>
      </w:r>
    </w:p>
    <w:p w14:paraId="78B24515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480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>九、作者同意将上列稿件发表后5年内的获奖等情况告知编辑部。</w:t>
      </w:r>
    </w:p>
    <w:p w14:paraId="6C44A256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480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>十、本刊禁止借助生成式人工智能技术直接生成论文研究框架、主体内容与核心观点等，对生成式人工智能检测比例超过20%的论文作退稿处理。对已刊发论文，一经查实存在违反使用规范的情况，将视作学术不端，本刊有权追究相应责任。</w:t>
      </w:r>
    </w:p>
    <w:p w14:paraId="6F11E18E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480"/>
        <w:jc w:val="both"/>
        <w:rPr>
          <w:rFonts w:hint="eastAsia" w:ascii="楷体" w:hAnsi="楷体" w:eastAsia="楷体" w:cs="楷体"/>
          <w:color w:val="000000"/>
          <w:sz w:val="24"/>
          <w:szCs w:val="24"/>
        </w:rPr>
      </w:pPr>
      <w:r>
        <w:rPr>
          <w:rFonts w:hint="eastAsia" w:ascii="楷体" w:hAnsi="楷体" w:eastAsia="楷体" w:cs="楷体"/>
          <w:color w:val="000000"/>
          <w:sz w:val="24"/>
          <w:szCs w:val="24"/>
        </w:rPr>
        <w:t>十一、在编校过程中若发现文章存在重大政治性差错、逻辑混乱、文字表述不畅等问题，作者在规定期限内未达到修改要求，编辑部有权作退稿处理。</w:t>
      </w:r>
    </w:p>
    <w:p w14:paraId="6B7B7C1A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480"/>
        <w:jc w:val="both"/>
        <w:rPr>
          <w:rFonts w:hint="eastAsia" w:ascii="楷体" w:hAnsi="楷体" w:eastAsia="楷体" w:cs="楷体"/>
          <w:color w:val="000000"/>
          <w:sz w:val="24"/>
          <w:szCs w:val="24"/>
          <w:lang w:eastAsia="zh-CN"/>
        </w:rPr>
      </w:pPr>
      <w:r>
        <w:rPr>
          <w:rFonts w:hint="eastAsia" w:ascii="楷体" w:hAnsi="楷体" w:eastAsia="楷体" w:cs="楷体"/>
          <w:color w:val="000000"/>
          <w:sz w:val="24"/>
          <w:szCs w:val="24"/>
          <w:lang w:eastAsia="zh-CN"/>
        </w:rPr>
        <w:t>十二、若最后规范化稿件中作者、单位、基金项目等与初始投稿不一致，编辑部有权拒绝刊发。</w:t>
      </w:r>
    </w:p>
    <w:p w14:paraId="691D0150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 xml:space="preserve">    </w:t>
      </w:r>
      <w:r>
        <w:rPr>
          <w:rFonts w:hint="eastAsia" w:ascii="楷体" w:hAnsi="楷体" w:eastAsia="楷体" w:cs="楷体"/>
          <w:color w:val="000000"/>
          <w:sz w:val="24"/>
          <w:szCs w:val="24"/>
          <w:lang w:val="en-US" w:eastAsia="zh-CN"/>
        </w:rPr>
        <w:t xml:space="preserve"> 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十</w:t>
      </w:r>
      <w:r>
        <w:rPr>
          <w:rFonts w:hint="eastAsia" w:ascii="楷体" w:hAnsi="楷体" w:eastAsia="楷体" w:cs="楷体"/>
          <w:color w:val="000000"/>
          <w:sz w:val="24"/>
          <w:szCs w:val="24"/>
          <w:lang w:eastAsia="zh-CN"/>
        </w:rPr>
        <w:t>三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、样刊邮寄地址和邮编：_______________________________________；</w:t>
      </w:r>
    </w:p>
    <w:p w14:paraId="241C8AE9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>          联系电话：_______________________________________。</w:t>
      </w:r>
    </w:p>
    <w:p w14:paraId="453569FB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t> </w:t>
      </w:r>
    </w:p>
    <w:p w14:paraId="4981BC20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>第一作者或通信作者姓名</w:t>
      </w:r>
      <w:r>
        <w:rPr>
          <w:rFonts w:hint="eastAsia" w:ascii="楷体" w:hAnsi="楷体" w:eastAsia="楷体" w:cs="楷体"/>
          <w:color w:val="000000"/>
          <w:sz w:val="24"/>
          <w:szCs w:val="24"/>
          <w:u w:val="single"/>
        </w:rPr>
        <w:t>         </w:t>
      </w:r>
      <w:r>
        <w:rPr>
          <w:rFonts w:hint="eastAsia" w:ascii="楷体" w:hAnsi="楷体" w:eastAsia="楷体" w:cs="楷体"/>
          <w:color w:val="000000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 w:cs="楷体"/>
          <w:color w:val="000000"/>
          <w:sz w:val="24"/>
          <w:szCs w:val="24"/>
          <w:u w:val="single"/>
        </w:rPr>
        <w:t xml:space="preserve">     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身份证号</w:t>
      </w:r>
      <w:r>
        <w:rPr>
          <w:rFonts w:hint="eastAsia" w:ascii="楷体" w:hAnsi="楷体" w:eastAsia="楷体" w:cs="楷体"/>
          <w:color w:val="000000"/>
          <w:sz w:val="24"/>
          <w:szCs w:val="24"/>
          <w:u w:val="single"/>
        </w:rPr>
        <w:t>             </w:t>
      </w:r>
      <w:r>
        <w:rPr>
          <w:rFonts w:hint="eastAsia" w:ascii="楷体" w:hAnsi="楷体" w:eastAsia="楷体" w:cs="楷体"/>
          <w:color w:val="000000"/>
          <w:sz w:val="24"/>
          <w:szCs w:val="24"/>
          <w:u w:val="single"/>
          <w:lang w:val="en-US" w:eastAsia="zh-CN"/>
        </w:rPr>
        <w:t xml:space="preserve">       </w:t>
      </w:r>
      <w:r>
        <w:rPr>
          <w:rFonts w:hint="eastAsia" w:ascii="楷体" w:hAnsi="楷体" w:eastAsia="楷体" w:cs="楷体"/>
          <w:color w:val="000000"/>
          <w:sz w:val="24"/>
          <w:szCs w:val="24"/>
          <w:u w:val="single"/>
        </w:rPr>
        <w:t xml:space="preserve">       </w:t>
      </w:r>
    </w:p>
    <w:p w14:paraId="314D83E9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240"/>
        <w:jc w:val="both"/>
      </w:pPr>
    </w:p>
    <w:p w14:paraId="5395C40E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300" w:lineRule="auto"/>
        <w:ind w:left="0" w:firstLine="240"/>
        <w:jc w:val="both"/>
      </w:pPr>
      <w:r>
        <w:t> </w:t>
      </w:r>
      <w:r>
        <w:rPr>
          <w:rFonts w:hint="eastAsia" w:ascii="楷体" w:hAnsi="楷体" w:eastAsia="楷体" w:cs="楷体"/>
          <w:b/>
          <w:color w:val="000000"/>
          <w:sz w:val="24"/>
          <w:szCs w:val="24"/>
        </w:rPr>
        <w:t>作者签名：</w:t>
      </w:r>
    </w:p>
    <w:p w14:paraId="33A6FCA1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ind w:left="0" w:firstLine="480"/>
        <w:jc w:val="both"/>
      </w:pPr>
      <w:r>
        <w:t> </w:t>
      </w:r>
    </w:p>
    <w:p w14:paraId="12266DB0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ind w:left="0" w:firstLine="6840"/>
        <w:jc w:val="both"/>
      </w:pPr>
      <w:r>
        <w:rPr>
          <w:rFonts w:hint="eastAsia" w:ascii="楷体" w:hAnsi="楷体" w:eastAsia="楷体" w:cs="楷体"/>
          <w:color w:val="000000"/>
          <w:sz w:val="24"/>
          <w:szCs w:val="24"/>
        </w:rPr>
        <w:t>年   月   日</w:t>
      </w:r>
    </w:p>
    <w:p w14:paraId="66136110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jc w:val="both"/>
      </w:pPr>
      <w:r>
        <w:rPr>
          <w:rFonts w:ascii="仿宋" w:hAnsi="仿宋" w:eastAsia="仿宋" w:cs="仿宋"/>
          <w:color w:val="000000"/>
          <w:sz w:val="21"/>
          <w:szCs w:val="21"/>
        </w:rPr>
        <w:t>协议请</w:t>
      </w:r>
      <w:r>
        <w:rPr>
          <w:rFonts w:hint="eastAsia" w:ascii="仿宋" w:hAnsi="仿宋" w:eastAsia="仿宋" w:cs="仿宋"/>
          <w:b/>
          <w:color w:val="000000"/>
          <w:sz w:val="24"/>
          <w:szCs w:val="24"/>
        </w:rPr>
        <w:t>全部作者签名</w:t>
      </w:r>
      <w:r>
        <w:rPr>
          <w:rFonts w:hint="eastAsia" w:ascii="仿宋" w:hAnsi="仿宋" w:eastAsia="仿宋" w:cs="仿宋"/>
          <w:color w:val="000000"/>
          <w:sz w:val="21"/>
          <w:szCs w:val="21"/>
        </w:rPr>
        <w:t>后扫描（或拍照）在系统内上传</w:t>
      </w:r>
    </w:p>
    <w:p w14:paraId="6B348E73">
      <w:pPr>
        <w:pStyle w:val="2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jc w:val="both"/>
        <w:rPr>
          <w:rFonts w:hint="eastAsia" w:eastAsia="仿宋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1"/>
          <w:szCs w:val="21"/>
        </w:rPr>
        <w:t>电    话：0551-6377448</w:t>
      </w:r>
      <w:r>
        <w:rPr>
          <w:rFonts w:hint="eastAsia" w:ascii="仿宋" w:hAnsi="仿宋" w:eastAsia="仿宋" w:cs="仿宋"/>
          <w:color w:val="000000"/>
          <w:sz w:val="21"/>
          <w:szCs w:val="21"/>
          <w:lang w:val="en-US" w:eastAsia="zh-CN"/>
        </w:rPr>
        <w:t>9</w:t>
      </w:r>
    </w:p>
    <w:p w14:paraId="11692D8E"/>
    <w:sectPr>
      <w:pgSz w:w="11906" w:h="16838"/>
      <w:pgMar w:top="624" w:right="1689" w:bottom="85" w:left="168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zNThhZjIzN2IwNTZlMjMzNjA2MWY0OTQzOGJkZmUifQ=="/>
  </w:docVars>
  <w:rsids>
    <w:rsidRoot w:val="00000000"/>
    <w:rsid w:val="066537F7"/>
    <w:rsid w:val="0A6A2C79"/>
    <w:rsid w:val="2B1C1A42"/>
    <w:rsid w:val="437D5022"/>
    <w:rsid w:val="4FF278D5"/>
    <w:rsid w:val="6E81052F"/>
    <w:rsid w:val="77266EE2"/>
    <w:rsid w:val="779D0BC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714</Words>
  <Characters>805</Characters>
  <Lines>0</Lines>
  <Paragraphs>0</Paragraphs>
  <TotalTime>0</TotalTime>
  <ScaleCrop>false</ScaleCrop>
  <LinksUpToDate>false</LinksUpToDate>
  <CharactersWithSpaces>955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夏至</cp:lastModifiedBy>
  <dcterms:modified xsi:type="dcterms:W3CDTF">2025-04-28T08:01:22Z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284EEB2E012A464CA1724A190253EF35_12</vt:lpwstr>
  </property>
  <property fmtid="{D5CDD505-2E9C-101B-9397-08002B2CF9AE}" pid="4" name="KSOTemplateDocerSaveRecord">
    <vt:lpwstr>eyJoZGlkIjoiMGQzNThhZjIzN2IwNTZlMjMzNjA2MWY0OTQzOGJkZmUiLCJ1c2VySWQiOiIxMTY2MzgxNTIwIn0=</vt:lpwstr>
  </property>
</Properties>
</file>